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62" w:rsidRPr="008F7D62" w:rsidRDefault="008F7D62" w:rsidP="008F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D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tbl>
      <w:tblPr>
        <w:tblW w:w="5531" w:type="pct"/>
        <w:jc w:val="center"/>
        <w:tblCellSpacing w:w="0" w:type="dxa"/>
        <w:tblInd w:w="-59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8F7D62" w:rsidRPr="008F7D62" w:rsidTr="008F7D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5"/>
              <w:gridCol w:w="14"/>
            </w:tblGrid>
            <w:tr w:rsidR="008F7D62" w:rsidRPr="008F7D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7D62" w:rsidRPr="008F7D62" w:rsidRDefault="008F7D62" w:rsidP="008F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8F7D6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drawing>
                        <wp:anchor distT="0" distB="0" distL="0" distR="0" simplePos="0" relativeHeight="251659264" behindDoc="0" locked="0" layoutInCell="1" allowOverlap="0" wp14:anchorId="64AAB2FC" wp14:editId="03A15195">
                          <wp:simplePos x="0" y="0"/>
                          <wp:positionH relativeFrom="column">
                            <wp:align>left</wp:align>
                          </wp:positionH>
                          <wp:positionV relativeFrom="line">
                            <wp:posOffset>0</wp:posOffset>
                          </wp:positionV>
                          <wp:extent cx="2857500" cy="476250"/>
                          <wp:effectExtent l="0" t="0" r="0" b="0"/>
                          <wp:wrapSquare wrapText="bothSides"/>
                          <wp:docPr id="1" name="Рисунок 2" descr="http://cdnimg.rg.ru/img/rg_logo_bw.gif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cdnimg.rg.ru/img/rg_logo_bw.gif">
                                    <a:hlinkClick r:id="rId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8F7D62" w:rsidRPr="008F7D62" w:rsidRDefault="008F7D62" w:rsidP="008F7D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7D62" w:rsidRPr="008F7D62" w:rsidRDefault="008F7D62" w:rsidP="008F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D62" w:rsidRPr="008F7D62" w:rsidTr="008F7D62">
        <w:trPr>
          <w:trHeight w:val="60"/>
          <w:tblCellSpacing w:w="0" w:type="dxa"/>
          <w:jc w:val="center"/>
        </w:trPr>
        <w:tc>
          <w:tcPr>
            <w:tcW w:w="5000" w:type="pct"/>
            <w:shd w:val="clear" w:color="auto" w:fill="000000"/>
            <w:vAlign w:val="center"/>
            <w:hideMark/>
          </w:tcPr>
          <w:p w:rsidR="008F7D62" w:rsidRPr="008F7D62" w:rsidRDefault="008F7D62" w:rsidP="008F7D6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3C941D" wp14:editId="660AD5B4">
                  <wp:extent cx="9525" cy="38100"/>
                  <wp:effectExtent l="0" t="0" r="0" b="0"/>
                  <wp:docPr id="2" name="Рисунок 2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62" w:rsidRPr="008F7D62" w:rsidTr="008F7D62">
        <w:trPr>
          <w:trHeight w:val="1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F7D62" w:rsidRPr="008F7D62" w:rsidRDefault="008F7D62" w:rsidP="008F7D6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67311" wp14:editId="0A794632">
                  <wp:extent cx="9525" cy="9525"/>
                  <wp:effectExtent l="0" t="0" r="0" b="0"/>
                  <wp:docPr id="3" name="Рисунок 3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62" w:rsidRPr="008F7D62" w:rsidTr="008F7D62">
        <w:trPr>
          <w:trHeight w:val="120"/>
          <w:tblCellSpacing w:w="0" w:type="dxa"/>
          <w:jc w:val="center"/>
        </w:trPr>
        <w:tc>
          <w:tcPr>
            <w:tcW w:w="5000" w:type="pct"/>
            <w:shd w:val="clear" w:color="auto" w:fill="CCCCCC"/>
            <w:vAlign w:val="center"/>
            <w:hideMark/>
          </w:tcPr>
          <w:p w:rsidR="008F7D62" w:rsidRPr="008F7D62" w:rsidRDefault="008F7D62" w:rsidP="008F7D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2B80CF" wp14:editId="23F956F3">
                  <wp:extent cx="9525" cy="9525"/>
                  <wp:effectExtent l="0" t="0" r="0" b="0"/>
                  <wp:docPr id="4" name="Рисунок 4" descr="http://cdnimg.rg.ru/img/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dnimg.rg.ru/img/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7D62" w:rsidRPr="008F7D62" w:rsidTr="008F7D62">
        <w:trPr>
          <w:tblCellSpacing w:w="0" w:type="dxa"/>
          <w:jc w:val="center"/>
        </w:trPr>
        <w:tc>
          <w:tcPr>
            <w:tcW w:w="5000" w:type="pct"/>
            <w:hideMark/>
          </w:tcPr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Опубликовано 20 октября 2010 г.</w:t>
            </w:r>
          </w:p>
          <w:p w:rsidR="008F7D62" w:rsidRPr="008F7D62" w:rsidRDefault="008F7D62" w:rsidP="008F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Вступает в силу: 31 октября 2010 г.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здравоохранения и социального развития Российской Федерации (</w:t>
            </w:r>
            <w:proofErr w:type="spellStart"/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инздравсоцразвития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</w:t>
            </w:r>
          </w:p>
        </w:tc>
      </w:tr>
      <w:tr w:rsidR="008F7D62" w:rsidRPr="008F7D62" w:rsidTr="008F7D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 в Минюсте РФ 6 октября 2010 г. Регистрационный N 18638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ст. 1036;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15, ст.1555; N 23, ст. 2713; N 42, ст. 4825; N 46, ст. 5337; N 48, ст. 5618; 2009, N 2, ст. 244; N 3, ст. 378; N 6, ст. 738; N 12, ст. 1427, 1434; N 33, ст. 4083, 4088; N 43, ст. 5064; N 45, ст. 5350;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2010, N 4, ст. 394; N 11, ст. 1225; N 25, ст. 3167; N 26, ст. 3350; N 31, 4251), </w:t>
            </w: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приказываю: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 Т. Голикова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"Квалификационные характеристики должностей работников образования"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положения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быть распределены между несколькими исполнителями.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II. Должности руководителей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(директор, заведующий, начальник) образовательного учреждения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руководителя (директора, заведующего, начальника) образовательного учреждения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хозяйственным обслуживанием и надлежащим состоянием образовательного учреждения. Организует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спортивнуюдеятельность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или руководящих должностях не менее 5 лет.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(заведующий, начальник, директор, управляющий) структурного подразделения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образовательного процесса и объективностью оценки результатов учебной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мастер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Должности педагогических работников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Учитель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предмету (курсу, программе) с практикой, обсуждает с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актуальные события современности. Обеспечивает достижение и подтверждение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преподаваемому предмету;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Педагог-организатор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Социальный педагог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поведением, а также попавшим в экстремальные ситуации.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Учитель-дефектолог, учитель-логопед (логопед)</w:t>
            </w: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поздноослепших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в области дефектологии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психокоррекционную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      </w:r>
            <w:proofErr w:type="spellStart"/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психологию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психосоматику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основы дефектологии, психотерапии, сексологии, психогигиены, профориентации,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профессиоведения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психологии труда, психодиагностики, психологического консультирования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методы активного обучения, социально-психологического тренинга общения; современные методы индивидуальной и групповой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профконсультации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основы работы с персональным компьютером, электронной почтой и браузерами, мультимедийным оборудованием;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Воспитатель (включая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профессиональное образование или среднее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мониторинг динамики процесса становления выбора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пути своего образования.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и анализирует достижение и подтверждение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таблицы в своей деятельности.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и методику воспитательной работы, организации свободного времени обучающихся; технологии открытого образования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тьюторские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Старший вожатый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 дополнительного образования (включая старшего)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педагога дополнительного образования - высшее профессиональное образование и стаж педагогической работы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Музыкальный руководитель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программой.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Концертмейстер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период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физического воспитания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Внедряет наиболее эффективные формы, методы и средства физического воспитания обучающихся, обеспечивает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по физической подготовке. Обеспечивает организацию и проведение оздоровительных физкультурных мероприятий во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каникулярное время, организует работу спортивно-оздоровительных лагерей. Принимает меры по физической реабилитации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активный отдых обучающихся, воспитанников в режиме учебного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Методист (включая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Инструктор-методист (включая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медслужбой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Инструктор по труду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работу, организует их общественно полезный и производительный труд, участвует в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обучение и воспитание обучающихся, воспитанников с учетом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специфики курсов основ безопасности жизнедеятельности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Тренер-преподаватель (включая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 образовательной программой, в организации и проведении методической и консультативной помощи родителям (лицам, их заменяющим).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компетентностного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Должности учебно-вспомогательного персонала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Дежурный по режиму (включая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старшего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постоянное наблюдение за поведением воспитанников с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Вожатый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обязанности.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Должен знать: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Помощник воспитателя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Младший воспитатель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учебной части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работы либо подготовки ответов. Ведет делопроизводство, в том числе и в электронной форме; подготавливает проекты приказов и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квалификации.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Диспетчер образовательного учреждения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Должностные обязанности.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образовательного процесса, обеспечивая рациональное использование учебных и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</w:t>
            </w:r>
            <w:bookmarkStart w:id="0" w:name="_GoBack"/>
            <w:bookmarkEnd w:id="0"/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методическими объединениями педагогических работников.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Выполняет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Должен знать: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квалификации. </w:t>
            </w:r>
            <w:r w:rsidRPr="008F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области организации труда без предъявления требований к стажу работы.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1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роме преподавателей, отнесенных к профессорско-преподавательскому составу вузов.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3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      </w:r>
          </w:p>
          <w:p w:rsidR="008F7D62" w:rsidRPr="008F7D62" w:rsidRDefault="008F7D62" w:rsidP="008F7D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4</w:t>
            </w:r>
            <w:proofErr w:type="gramStart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исключением </w:t>
            </w:r>
            <w:proofErr w:type="spellStart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8F7D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занятых в сфере высшего и дополнительного профессионального образования.</w:t>
            </w:r>
          </w:p>
        </w:tc>
      </w:tr>
    </w:tbl>
    <w:p w:rsidR="00C909E7" w:rsidRDefault="00C909E7"/>
    <w:sectPr w:rsidR="00C909E7" w:rsidSect="008F7D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62"/>
    <w:rsid w:val="008F7D62"/>
    <w:rsid w:val="00C9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20027</Words>
  <Characters>114156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2015-07-02T08:29:00Z</cp:lastPrinted>
  <dcterms:created xsi:type="dcterms:W3CDTF">2015-07-02T08:27:00Z</dcterms:created>
  <dcterms:modified xsi:type="dcterms:W3CDTF">2015-07-02T08:34:00Z</dcterms:modified>
</cp:coreProperties>
</file>